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81" w:rsidRPr="00E36181" w:rsidRDefault="00E36181" w:rsidP="00E36181">
      <w:pPr>
        <w:widowControl w:val="0"/>
        <w:autoSpaceDE w:val="0"/>
        <w:autoSpaceDN w:val="0"/>
        <w:adjustRightInd w:val="0"/>
        <w:jc w:val="center"/>
        <w:rPr>
          <w:rFonts w:ascii="Calibri" w:hAnsi="Calibri" w:cs="Calibri"/>
          <w:b/>
          <w:i/>
          <w:color w:val="3366FF"/>
          <w:sz w:val="28"/>
          <w:szCs w:val="28"/>
        </w:rPr>
      </w:pPr>
      <w:r w:rsidRPr="00E36181">
        <w:rPr>
          <w:rFonts w:ascii="Calibri" w:hAnsi="Calibri" w:cs="Calibri"/>
          <w:b/>
          <w:i/>
          <w:color w:val="3366FF"/>
          <w:sz w:val="28"/>
          <w:szCs w:val="28"/>
        </w:rPr>
        <w:t>Responses to Commissioner David Dickerson’s July 6, 2017 email:</w:t>
      </w:r>
    </w:p>
    <w:p w:rsidR="00E36181" w:rsidRPr="00E36181" w:rsidRDefault="00E36181" w:rsidP="00E36181">
      <w:pPr>
        <w:widowControl w:val="0"/>
        <w:autoSpaceDE w:val="0"/>
        <w:autoSpaceDN w:val="0"/>
        <w:adjustRightInd w:val="0"/>
        <w:jc w:val="both"/>
        <w:rPr>
          <w:rFonts w:ascii="Calibri" w:hAnsi="Calibri" w:cs="Calibri"/>
          <w:color w:val="191919"/>
          <w:sz w:val="28"/>
          <w:szCs w:val="28"/>
        </w:rPr>
      </w:pPr>
    </w:p>
    <w:p w:rsidR="00E36181" w:rsidRPr="00E36181" w:rsidRDefault="00E36181" w:rsidP="00E36181">
      <w:pPr>
        <w:widowControl w:val="0"/>
        <w:autoSpaceDE w:val="0"/>
        <w:autoSpaceDN w:val="0"/>
        <w:adjustRightInd w:val="0"/>
        <w:jc w:val="both"/>
        <w:rPr>
          <w:rFonts w:ascii="SegoeUI" w:hAnsi="SegoeUI" w:cs="SegoeUI"/>
          <w:color w:val="191919"/>
          <w:sz w:val="28"/>
          <w:szCs w:val="28"/>
        </w:rPr>
      </w:pPr>
      <w:r w:rsidRPr="00E36181">
        <w:rPr>
          <w:rFonts w:ascii="Calibri" w:hAnsi="Calibri" w:cs="Calibri"/>
          <w:color w:val="191919"/>
          <w:sz w:val="28"/>
          <w:szCs w:val="28"/>
        </w:rPr>
        <w:t>1. The first resolution is the Soapstone Valley and Melvin C. Hazen Parks and Trails Committee's September 12, 2016, resolution, adopted by the full ANC, requesting that DPR, DGS and DOEE (1) undertake hydrology and geologic study of ground and water conditions at Hearst, and (2) provide monthly status reports to ANC3F on the status of such studies.  </w:t>
      </w:r>
    </w:p>
    <w:p w:rsidR="00E36181" w:rsidRDefault="00E36181" w:rsidP="00E36181">
      <w:pPr>
        <w:widowControl w:val="0"/>
        <w:autoSpaceDE w:val="0"/>
        <w:autoSpaceDN w:val="0"/>
        <w:adjustRightInd w:val="0"/>
        <w:jc w:val="both"/>
        <w:rPr>
          <w:rFonts w:ascii="Calibri" w:hAnsi="Calibri" w:cs="Calibri"/>
          <w:b/>
          <w:bCs/>
          <w:color w:val="135E02"/>
          <w:sz w:val="28"/>
          <w:szCs w:val="28"/>
        </w:rPr>
      </w:pPr>
    </w:p>
    <w:p w:rsidR="00E36181" w:rsidRPr="00E36181" w:rsidRDefault="00E36181" w:rsidP="00E36181">
      <w:pPr>
        <w:widowControl w:val="0"/>
        <w:autoSpaceDE w:val="0"/>
        <w:autoSpaceDN w:val="0"/>
        <w:adjustRightInd w:val="0"/>
        <w:jc w:val="both"/>
        <w:rPr>
          <w:rFonts w:ascii="SegoeUI" w:hAnsi="SegoeUI" w:cs="SegoeUI"/>
          <w:color w:val="3366FF"/>
          <w:sz w:val="28"/>
          <w:szCs w:val="28"/>
        </w:rPr>
      </w:pPr>
      <w:r w:rsidRPr="00E36181">
        <w:rPr>
          <w:rFonts w:ascii="Calibri" w:hAnsi="Calibri" w:cs="Calibri"/>
          <w:bCs/>
          <w:color w:val="3366FF"/>
          <w:sz w:val="28"/>
          <w:szCs w:val="28"/>
        </w:rPr>
        <w:t>There is currently no specific fund to do a large-scale hydrology study covering the entire Soapstone Valley, Melvin Hazen Park and Hearst Park. However, DPR will be working with DDOT to repair the existing storm water drainage system in the DDOT ROW (Right of Way) adjacent to Hearst Park. The intention of this restoration work is to mitigate storm water run-off during storms both at the field intake at Hearst Park and in the DDOT ROW. This should greatly reduce surface overflow toward Springland Lane NW, which then feeds into the Melvin Hazen Park</w:t>
      </w:r>
    </w:p>
    <w:p w:rsidR="00E36181" w:rsidRPr="00E36181" w:rsidRDefault="00E36181" w:rsidP="00E36181">
      <w:pPr>
        <w:widowControl w:val="0"/>
        <w:autoSpaceDE w:val="0"/>
        <w:autoSpaceDN w:val="0"/>
        <w:adjustRightInd w:val="0"/>
        <w:jc w:val="both"/>
        <w:rPr>
          <w:rFonts w:ascii="SegoeUI" w:hAnsi="SegoeUI" w:cs="SegoeUI"/>
          <w:color w:val="191919"/>
          <w:sz w:val="28"/>
          <w:szCs w:val="28"/>
        </w:rPr>
      </w:pPr>
      <w:r w:rsidRPr="00E36181">
        <w:rPr>
          <w:rFonts w:ascii="Calibri" w:hAnsi="Calibri" w:cs="Calibri"/>
          <w:color w:val="191919"/>
          <w:sz w:val="28"/>
          <w:szCs w:val="28"/>
        </w:rPr>
        <w:t> </w:t>
      </w:r>
    </w:p>
    <w:p w:rsidR="00E36181" w:rsidRPr="00E36181" w:rsidRDefault="00E36181" w:rsidP="00E36181">
      <w:pPr>
        <w:widowControl w:val="0"/>
        <w:autoSpaceDE w:val="0"/>
        <w:autoSpaceDN w:val="0"/>
        <w:adjustRightInd w:val="0"/>
        <w:jc w:val="both"/>
        <w:rPr>
          <w:rFonts w:ascii="SegoeUI" w:hAnsi="SegoeUI" w:cs="SegoeUI"/>
          <w:color w:val="191919"/>
          <w:sz w:val="28"/>
          <w:szCs w:val="28"/>
        </w:rPr>
      </w:pPr>
      <w:r w:rsidRPr="00E36181">
        <w:rPr>
          <w:rFonts w:ascii="Calibri" w:hAnsi="Calibri" w:cs="Calibri"/>
          <w:color w:val="191919"/>
          <w:sz w:val="28"/>
          <w:szCs w:val="28"/>
        </w:rPr>
        <w:t>2. The second resolution is the one adopted by ANC3F on April 12, 2017, requesting the creation of a steering committee to oversee responses to the environmental/design concerns listed in the April resolution.  What is the District's response to this?</w:t>
      </w:r>
    </w:p>
    <w:p w:rsidR="00E36181" w:rsidRPr="00E36181" w:rsidRDefault="00E36181" w:rsidP="00E36181">
      <w:pPr>
        <w:widowControl w:val="0"/>
        <w:autoSpaceDE w:val="0"/>
        <w:autoSpaceDN w:val="0"/>
        <w:adjustRightInd w:val="0"/>
        <w:jc w:val="both"/>
        <w:rPr>
          <w:rFonts w:ascii="Calibri" w:hAnsi="Calibri" w:cs="Calibri"/>
          <w:color w:val="3366FF"/>
          <w:sz w:val="28"/>
          <w:szCs w:val="28"/>
        </w:rPr>
      </w:pPr>
    </w:p>
    <w:p w:rsidR="00E36181" w:rsidRPr="00E36181" w:rsidRDefault="00E36181" w:rsidP="00E36181">
      <w:pPr>
        <w:widowControl w:val="0"/>
        <w:autoSpaceDE w:val="0"/>
        <w:autoSpaceDN w:val="0"/>
        <w:adjustRightInd w:val="0"/>
        <w:jc w:val="both"/>
        <w:rPr>
          <w:rFonts w:ascii="SegoeUI" w:hAnsi="SegoeUI" w:cs="SegoeUI"/>
          <w:color w:val="3366FF"/>
          <w:sz w:val="28"/>
          <w:szCs w:val="28"/>
        </w:rPr>
      </w:pPr>
      <w:r w:rsidRPr="00E36181">
        <w:rPr>
          <w:rFonts w:ascii="Calibri" w:hAnsi="Calibri" w:cs="Calibri"/>
          <w:bCs/>
          <w:color w:val="3366FF"/>
          <w:sz w:val="28"/>
          <w:szCs w:val="28"/>
        </w:rPr>
        <w:t>DPR is happy to keep the community engaged with community outreach and feedback. We will be continuing to hold public community meetings and ANC updates throughout the design process where we will ask the community for feedback from our professional surveys, recommendations and concept designs regarding environmental design and impact. We will also keep the DOEE involved throughout the process and be sure we conform to their recommendations and DCRA codes for BMP (Best Management Practices) in the environmental design.</w:t>
      </w:r>
    </w:p>
    <w:p w:rsidR="00E36181" w:rsidRPr="00E36181" w:rsidRDefault="00E36181" w:rsidP="00E36181">
      <w:pPr>
        <w:widowControl w:val="0"/>
        <w:autoSpaceDE w:val="0"/>
        <w:autoSpaceDN w:val="0"/>
        <w:adjustRightInd w:val="0"/>
        <w:jc w:val="both"/>
        <w:rPr>
          <w:rFonts w:ascii="SegoeUI" w:hAnsi="SegoeUI" w:cs="SegoeUI"/>
          <w:color w:val="191919"/>
          <w:sz w:val="28"/>
          <w:szCs w:val="28"/>
        </w:rPr>
      </w:pPr>
      <w:r w:rsidRPr="00E36181">
        <w:rPr>
          <w:rFonts w:ascii="Calibri" w:hAnsi="Calibri" w:cs="Calibri"/>
          <w:color w:val="191919"/>
          <w:sz w:val="28"/>
          <w:szCs w:val="28"/>
        </w:rPr>
        <w:t> </w:t>
      </w:r>
    </w:p>
    <w:p w:rsidR="00E36181" w:rsidRPr="00E36181" w:rsidRDefault="00E36181" w:rsidP="00E36181">
      <w:pPr>
        <w:widowControl w:val="0"/>
        <w:autoSpaceDE w:val="0"/>
        <w:autoSpaceDN w:val="0"/>
        <w:adjustRightInd w:val="0"/>
        <w:jc w:val="both"/>
        <w:rPr>
          <w:rFonts w:ascii="SegoeUI" w:hAnsi="SegoeUI" w:cs="SegoeUI"/>
          <w:color w:val="191919"/>
          <w:sz w:val="28"/>
          <w:szCs w:val="28"/>
        </w:rPr>
      </w:pPr>
      <w:r w:rsidRPr="00E36181">
        <w:rPr>
          <w:rFonts w:ascii="Calibri" w:hAnsi="Calibri" w:cs="Calibri"/>
          <w:color w:val="191919"/>
          <w:sz w:val="28"/>
          <w:szCs w:val="28"/>
        </w:rPr>
        <w:t>3. An update on the tree study (or studies) including an explanation of the DGS/DDOT study provided to the Neighbors of Hearst Park.</w:t>
      </w:r>
    </w:p>
    <w:p w:rsidR="00E36181" w:rsidRDefault="00E36181" w:rsidP="00E36181">
      <w:pPr>
        <w:widowControl w:val="0"/>
        <w:autoSpaceDE w:val="0"/>
        <w:autoSpaceDN w:val="0"/>
        <w:adjustRightInd w:val="0"/>
        <w:jc w:val="both"/>
        <w:rPr>
          <w:rFonts w:ascii="Calibri" w:hAnsi="Calibri" w:cs="Calibri"/>
          <w:color w:val="191919"/>
          <w:sz w:val="28"/>
          <w:szCs w:val="28"/>
        </w:rPr>
      </w:pPr>
    </w:p>
    <w:p w:rsidR="00E36181" w:rsidRPr="00E36181" w:rsidRDefault="00E36181" w:rsidP="00E36181">
      <w:pPr>
        <w:widowControl w:val="0"/>
        <w:autoSpaceDE w:val="0"/>
        <w:autoSpaceDN w:val="0"/>
        <w:adjustRightInd w:val="0"/>
        <w:jc w:val="both"/>
        <w:rPr>
          <w:rFonts w:ascii="SegoeUI" w:hAnsi="SegoeUI" w:cs="SegoeUI"/>
          <w:color w:val="3366FF"/>
          <w:sz w:val="28"/>
          <w:szCs w:val="28"/>
        </w:rPr>
      </w:pPr>
      <w:r w:rsidRPr="00E36181">
        <w:rPr>
          <w:rFonts w:ascii="Calibri" w:hAnsi="Calibri" w:cs="Calibri"/>
          <w:bCs/>
          <w:color w:val="3366FF"/>
          <w:sz w:val="28"/>
          <w:szCs w:val="28"/>
        </w:rPr>
        <w:t xml:space="preserve">We have a recommendation letter from the UFA. The UFA has reviewed and met with both the arborist hired by the community and the arborist hired by the District. After these conversations, UFA recommends that the </w:t>
      </w:r>
      <w:r w:rsidRPr="00E36181">
        <w:rPr>
          <w:rFonts w:ascii="Calibri" w:hAnsi="Calibri" w:cs="Calibri"/>
          <w:bCs/>
          <w:color w:val="3366FF"/>
          <w:sz w:val="28"/>
          <w:szCs w:val="28"/>
        </w:rPr>
        <w:lastRenderedPageBreak/>
        <w:t>work does not disturb any soil within a minimum of 30’ from the Heritage Trees. All heavy disturbances (i.e. </w:t>
      </w:r>
      <w:proofErr w:type="gramStart"/>
      <w:r w:rsidRPr="00E36181">
        <w:rPr>
          <w:rFonts w:ascii="Calibri" w:hAnsi="Calibri" w:cs="Calibri"/>
          <w:bCs/>
          <w:color w:val="3366FF"/>
          <w:sz w:val="28"/>
          <w:szCs w:val="28"/>
        </w:rPr>
        <w:t>The</w:t>
      </w:r>
      <w:proofErr w:type="gramEnd"/>
      <w:r w:rsidRPr="00E36181">
        <w:rPr>
          <w:rFonts w:ascii="Calibri" w:hAnsi="Calibri" w:cs="Calibri"/>
          <w:bCs/>
          <w:color w:val="3366FF"/>
          <w:sz w:val="28"/>
          <w:szCs w:val="28"/>
        </w:rPr>
        <w:t xml:space="preserve"> pool) should occur in the southernmost section of Hearst Park in order to most carefully preserve the Heritage Trees by preserving all of their critical root zone.</w:t>
      </w:r>
    </w:p>
    <w:p w:rsidR="00E36181" w:rsidRPr="00E36181" w:rsidRDefault="00E36181" w:rsidP="00E36181">
      <w:pPr>
        <w:widowControl w:val="0"/>
        <w:autoSpaceDE w:val="0"/>
        <w:autoSpaceDN w:val="0"/>
        <w:adjustRightInd w:val="0"/>
        <w:jc w:val="both"/>
        <w:rPr>
          <w:rFonts w:ascii="SegoeUI" w:hAnsi="SegoeUI" w:cs="SegoeUI"/>
          <w:color w:val="191919"/>
          <w:sz w:val="28"/>
          <w:szCs w:val="28"/>
        </w:rPr>
      </w:pPr>
      <w:r w:rsidRPr="00E36181">
        <w:rPr>
          <w:rFonts w:ascii="Calibri" w:hAnsi="Calibri" w:cs="Calibri"/>
          <w:color w:val="191919"/>
          <w:sz w:val="28"/>
          <w:szCs w:val="28"/>
        </w:rPr>
        <w:t> </w:t>
      </w:r>
    </w:p>
    <w:p w:rsidR="00E36181" w:rsidRPr="00E36181" w:rsidRDefault="00E36181" w:rsidP="00E36181">
      <w:pPr>
        <w:widowControl w:val="0"/>
        <w:autoSpaceDE w:val="0"/>
        <w:autoSpaceDN w:val="0"/>
        <w:adjustRightInd w:val="0"/>
        <w:jc w:val="both"/>
        <w:rPr>
          <w:rFonts w:ascii="SegoeUI" w:hAnsi="SegoeUI" w:cs="SegoeUI"/>
          <w:color w:val="191919"/>
          <w:sz w:val="28"/>
          <w:szCs w:val="28"/>
        </w:rPr>
      </w:pPr>
      <w:r w:rsidRPr="00E36181">
        <w:rPr>
          <w:rFonts w:ascii="Calibri" w:hAnsi="Calibri" w:cs="Calibri"/>
          <w:color w:val="191919"/>
          <w:sz w:val="28"/>
          <w:szCs w:val="28"/>
        </w:rPr>
        <w:t>4. An update on any hydrology studies, soil boring/density activity and results, stormwater management on the site.</w:t>
      </w:r>
    </w:p>
    <w:p w:rsidR="00E36181" w:rsidRDefault="00E36181" w:rsidP="00E36181">
      <w:pPr>
        <w:widowControl w:val="0"/>
        <w:autoSpaceDE w:val="0"/>
        <w:autoSpaceDN w:val="0"/>
        <w:adjustRightInd w:val="0"/>
        <w:jc w:val="both"/>
        <w:rPr>
          <w:rFonts w:ascii="Calibri" w:hAnsi="Calibri" w:cs="Calibri"/>
          <w:color w:val="191919"/>
          <w:sz w:val="28"/>
          <w:szCs w:val="28"/>
        </w:rPr>
      </w:pPr>
    </w:p>
    <w:p w:rsidR="00E36181" w:rsidRPr="00E36181" w:rsidRDefault="00E36181" w:rsidP="00E36181">
      <w:pPr>
        <w:widowControl w:val="0"/>
        <w:autoSpaceDE w:val="0"/>
        <w:autoSpaceDN w:val="0"/>
        <w:adjustRightInd w:val="0"/>
        <w:jc w:val="both"/>
        <w:rPr>
          <w:rFonts w:ascii="SegoeUI" w:hAnsi="SegoeUI" w:cs="SegoeUI"/>
          <w:color w:val="3366FF"/>
          <w:sz w:val="28"/>
          <w:szCs w:val="28"/>
        </w:rPr>
      </w:pPr>
      <w:r w:rsidRPr="00E36181">
        <w:rPr>
          <w:rFonts w:ascii="Calibri" w:hAnsi="Calibri" w:cs="Calibri"/>
          <w:bCs/>
          <w:color w:val="3366FF"/>
          <w:sz w:val="28"/>
          <w:szCs w:val="28"/>
        </w:rPr>
        <w:t>We currently do not have any updates - however, we will perform the soil borings once we have identified the best location and layout of the pool and other permanent amenities at the site.</w:t>
      </w:r>
    </w:p>
    <w:p w:rsidR="00E36181" w:rsidRPr="00E36181" w:rsidRDefault="00E36181" w:rsidP="00E36181">
      <w:pPr>
        <w:widowControl w:val="0"/>
        <w:autoSpaceDE w:val="0"/>
        <w:autoSpaceDN w:val="0"/>
        <w:adjustRightInd w:val="0"/>
        <w:jc w:val="both"/>
        <w:rPr>
          <w:rFonts w:ascii="SegoeUI" w:hAnsi="SegoeUI" w:cs="SegoeUI"/>
          <w:color w:val="191919"/>
          <w:sz w:val="28"/>
          <w:szCs w:val="28"/>
        </w:rPr>
      </w:pPr>
      <w:r w:rsidRPr="00E36181">
        <w:rPr>
          <w:rFonts w:ascii="Calibri" w:hAnsi="Calibri" w:cs="Calibri"/>
          <w:color w:val="191919"/>
          <w:sz w:val="28"/>
          <w:szCs w:val="28"/>
        </w:rPr>
        <w:t> </w:t>
      </w:r>
    </w:p>
    <w:p w:rsidR="00E36181" w:rsidRPr="00E36181" w:rsidRDefault="00E36181" w:rsidP="00E36181">
      <w:pPr>
        <w:widowControl w:val="0"/>
        <w:autoSpaceDE w:val="0"/>
        <w:autoSpaceDN w:val="0"/>
        <w:adjustRightInd w:val="0"/>
        <w:jc w:val="both"/>
        <w:rPr>
          <w:rFonts w:ascii="Calibri" w:hAnsi="Calibri" w:cs="Calibri"/>
          <w:sz w:val="28"/>
          <w:szCs w:val="28"/>
        </w:rPr>
      </w:pPr>
      <w:r w:rsidRPr="00E36181">
        <w:rPr>
          <w:rFonts w:ascii="Calibri" w:hAnsi="Calibri" w:cs="Calibri"/>
          <w:color w:val="191919"/>
          <w:sz w:val="28"/>
          <w:szCs w:val="28"/>
        </w:rPr>
        <w:t>5. Any work being done now with DDOE and DDOT, including opportunities for additional stormwater project opportunities.       </w:t>
      </w:r>
    </w:p>
    <w:p w:rsidR="00E36181" w:rsidRDefault="00E36181" w:rsidP="00E36181">
      <w:pPr>
        <w:jc w:val="both"/>
        <w:rPr>
          <w:rFonts w:ascii="Calibri" w:hAnsi="Calibri" w:cs="Calibri"/>
          <w:color w:val="191919"/>
          <w:sz w:val="28"/>
          <w:szCs w:val="28"/>
        </w:rPr>
      </w:pPr>
    </w:p>
    <w:p w:rsidR="0003493D" w:rsidRPr="00E36181" w:rsidRDefault="00E36181" w:rsidP="00E36181">
      <w:pPr>
        <w:jc w:val="both"/>
        <w:rPr>
          <w:color w:val="3366FF"/>
          <w:sz w:val="28"/>
          <w:szCs w:val="28"/>
        </w:rPr>
      </w:pPr>
      <w:r w:rsidRPr="00E36181">
        <w:rPr>
          <w:rFonts w:ascii="Calibri" w:hAnsi="Calibri" w:cs="Calibri"/>
          <w:bCs/>
          <w:color w:val="3366FF"/>
          <w:sz w:val="28"/>
          <w:szCs w:val="28"/>
        </w:rPr>
        <w:t>DDOT, DOEE and DGS will perform storm water restoration both on the field and in the DDOT ROW. The SOW has been completed and the contract is currently in procurement.  This work will include Site Investigation and Civil Engineering, Site Soil Erosion Control Measures, Storm Drain Inlets and new soil stabilization plantings.</w:t>
      </w:r>
      <w:bookmarkStart w:id="0" w:name="_GoBack"/>
      <w:bookmarkEnd w:id="0"/>
    </w:p>
    <w:sectPr w:rsidR="0003493D" w:rsidRPr="00E36181" w:rsidSect="000349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81"/>
    <w:rsid w:val="0003493D"/>
    <w:rsid w:val="00E36181"/>
    <w:rsid w:val="00E80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6F48E6-9A38-489B-803A-A6CAD600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Jackson, Shannon (DGS)</cp:lastModifiedBy>
  <cp:revision>2</cp:revision>
  <dcterms:created xsi:type="dcterms:W3CDTF">2017-07-21T21:19:00Z</dcterms:created>
  <dcterms:modified xsi:type="dcterms:W3CDTF">2017-07-21T21:19:00Z</dcterms:modified>
</cp:coreProperties>
</file>